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Email to the Manager </w:t>
      </w:r>
    </w:p>
    <w:p w14:paraId="00000002" w14:textId="77777777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Joe (Manager at Citi Finance) </w:t>
      </w:r>
    </w:p>
    <w:p w14:paraId="00000003" w14:textId="013D2C2D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From</w:t>
      </w:r>
      <w:r w:rsidR="00441A11">
        <w:rPr>
          <w:rFonts w:ascii="Calibri" w:eastAsia="Calibri" w:hAnsi="Calibri" w:cs="Calibri"/>
          <w:color w:val="000000"/>
          <w:sz w:val="20"/>
          <w:szCs w:val="20"/>
        </w:rPr>
        <w:t>: Anjani Kumar Mishra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(Financial Analyst at Citi Finance) </w:t>
      </w:r>
    </w:p>
    <w:p w14:paraId="00000004" w14:textId="6B46BF0C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Date</w:t>
      </w:r>
      <w:r w:rsidR="00441A11">
        <w:rPr>
          <w:rFonts w:ascii="Calibri" w:eastAsia="Calibri" w:hAnsi="Calibri" w:cs="Calibri"/>
          <w:color w:val="000000"/>
          <w:sz w:val="20"/>
          <w:szCs w:val="20"/>
        </w:rPr>
        <w:t>: 23 March 2026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05" w14:textId="77777777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Subject: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Verification of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isk-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eighted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ssets provided by operating units</w:t>
      </w:r>
    </w:p>
    <w:p w14:paraId="00000006" w14:textId="77777777" w:rsidR="00996801" w:rsidRDefault="00996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9" w14:textId="00DFE0CE" w:rsidR="00996801" w:rsidRDefault="00BE23E0" w:rsidP="00441A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Dear Joe, </w:t>
      </w:r>
    </w:p>
    <w:p w14:paraId="6EE27D10" w14:textId="0ED03B87" w:rsidR="00441A11" w:rsidRDefault="00441A11" w:rsidP="003A25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 w:rsidRPr="00441A11">
        <w:rPr>
          <w:rFonts w:ascii="Calibri" w:eastAsia="Calibri" w:hAnsi="Calibri" w:cs="Calibri"/>
          <w:color w:val="000000"/>
          <w:sz w:val="20"/>
          <w:szCs w:val="20"/>
        </w:rPr>
        <w:t xml:space="preserve">I have completed my independent verification of the minimum capital adequacy ratios (CAR) submitted by Operating Units A, B, C, </w:t>
      </w:r>
      <w:r>
        <w:rPr>
          <w:rFonts w:ascii="Calibri" w:eastAsia="Calibri" w:hAnsi="Calibri" w:cs="Calibri"/>
          <w:color w:val="000000"/>
          <w:sz w:val="20"/>
          <w:szCs w:val="20"/>
        </w:rPr>
        <w:t>&amp;</w:t>
      </w:r>
      <w:r w:rsidRPr="00441A11">
        <w:rPr>
          <w:rFonts w:ascii="Calibri" w:eastAsia="Calibri" w:hAnsi="Calibri" w:cs="Calibri"/>
          <w:color w:val="000000"/>
          <w:sz w:val="20"/>
          <w:szCs w:val="20"/>
        </w:rPr>
        <w:t xml:space="preserve"> D. My review focused on ensuring alignment with the Federal Reserve Board’s (FRB) standardized methodology and the Basel III requirement of a 10.5% minimum ratio.</w:t>
      </w:r>
    </w:p>
    <w:p w14:paraId="5F61F1EF" w14:textId="77777777" w:rsidR="00441A11" w:rsidRDefault="00441A11" w:rsidP="00441A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41A11">
        <w:rPr>
          <w:rFonts w:ascii="Calibri" w:eastAsia="Calibri" w:hAnsi="Calibri" w:cs="Calibri"/>
          <w:color w:val="000000"/>
          <w:sz w:val="20"/>
          <w:szCs w:val="20"/>
        </w:rPr>
        <w:t xml:space="preserve">Risk weights for FRB's (Federal Reserve Board) standardized methodology are as follows: </w:t>
      </w:r>
    </w:p>
    <w:p w14:paraId="56384B05" w14:textId="77777777" w:rsidR="00441A11" w:rsidRPr="00441A11" w:rsidRDefault="00441A11" w:rsidP="00441A1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41A11">
        <w:rPr>
          <w:rFonts w:ascii="Calibri" w:eastAsia="Calibri" w:hAnsi="Calibri" w:cs="Calibri"/>
          <w:color w:val="000000"/>
          <w:sz w:val="20"/>
          <w:szCs w:val="20"/>
        </w:rPr>
        <w:t xml:space="preserve">Loans for Cards: 100% RW </w:t>
      </w:r>
    </w:p>
    <w:p w14:paraId="2B754A29" w14:textId="77777777" w:rsidR="00441A11" w:rsidRPr="00441A11" w:rsidRDefault="00441A11" w:rsidP="00441A1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41A11">
        <w:rPr>
          <w:rFonts w:ascii="Calibri" w:eastAsia="Calibri" w:hAnsi="Calibri" w:cs="Calibri"/>
          <w:color w:val="000000"/>
          <w:sz w:val="20"/>
          <w:szCs w:val="20"/>
        </w:rPr>
        <w:t xml:space="preserve">Consumer Mortgages: 55% RW </w:t>
      </w:r>
    </w:p>
    <w:p w14:paraId="2D011A8D" w14:textId="77777777" w:rsidR="00441A11" w:rsidRPr="00441A11" w:rsidRDefault="00441A11" w:rsidP="00441A1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41A11">
        <w:rPr>
          <w:rFonts w:ascii="Calibri" w:eastAsia="Calibri" w:hAnsi="Calibri" w:cs="Calibri"/>
          <w:color w:val="000000"/>
          <w:sz w:val="20"/>
          <w:szCs w:val="20"/>
        </w:rPr>
        <w:t xml:space="preserve">Retail Banking: 90% RW </w:t>
      </w:r>
    </w:p>
    <w:p w14:paraId="62CBB5F0" w14:textId="2EF8BD54" w:rsidR="00441A11" w:rsidRDefault="00441A11" w:rsidP="00441A1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441A11">
        <w:rPr>
          <w:rFonts w:ascii="Calibri" w:eastAsia="Calibri" w:hAnsi="Calibri" w:cs="Calibri"/>
          <w:color w:val="000000"/>
          <w:sz w:val="20"/>
          <w:szCs w:val="20"/>
        </w:rPr>
        <w:t>Unsecured Retail Lending: 100% RW</w:t>
      </w:r>
    </w:p>
    <w:p w14:paraId="17841949" w14:textId="77777777" w:rsidR="003A2543" w:rsidRPr="003A2543" w:rsidRDefault="003A2543" w:rsidP="003A254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B" w14:textId="0861ACAA" w:rsidR="00996801" w:rsidRDefault="00F06D7C" w:rsidP="005E5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06D7C">
        <w:rPr>
          <w:rFonts w:ascii="Calibri" w:eastAsia="Calibri" w:hAnsi="Calibri" w:cs="Calibri"/>
          <w:color w:val="000000"/>
          <w:sz w:val="20"/>
          <w:szCs w:val="20"/>
        </w:rPr>
        <w:t>During the audit, I identified a significant discrepancy in the risk-weighting applied to "Loans for Cards." The units utilized a 25% risk weight in their calculations, whereas the FRB standardized methodol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ogy requires a 100% risk weight. </w:t>
      </w:r>
    </w:p>
    <w:p w14:paraId="2802A75F" w14:textId="77777777" w:rsidR="00642AB9" w:rsidRDefault="003A2543" w:rsidP="005E5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A2543">
        <w:rPr>
          <w:rFonts w:ascii="Calibri" w:eastAsia="Calibri" w:hAnsi="Calibri" w:cs="Calibri"/>
          <w:color w:val="000000"/>
          <w:sz w:val="20"/>
          <w:szCs w:val="20"/>
        </w:rPr>
        <w:t xml:space="preserve">Applying the correct 100% weighting significantly alters the risk-weighted asset (RWA) totals and the resulting capital ratios: </w:t>
      </w:r>
    </w:p>
    <w:p w14:paraId="6EF4C9A0" w14:textId="77777777" w:rsidR="00642AB9" w:rsidRPr="00642AB9" w:rsidRDefault="003A2543" w:rsidP="00642AB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642AB9">
        <w:rPr>
          <w:rFonts w:ascii="Calibri" w:eastAsia="Calibri" w:hAnsi="Calibri" w:cs="Calibri"/>
          <w:color w:val="000000"/>
          <w:sz w:val="20"/>
          <w:szCs w:val="20"/>
        </w:rPr>
        <w:t xml:space="preserve">Operating Units A &amp; B: Both units remain compliant with the 10.5% threshold. However, their reported RWA was understated, and their actual CAR is lower than initially reported. </w:t>
      </w:r>
    </w:p>
    <w:p w14:paraId="21E950DF" w14:textId="2BA258BD" w:rsidR="003A2543" w:rsidRPr="00642AB9" w:rsidRDefault="003A2543" w:rsidP="00642AB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642AB9">
        <w:rPr>
          <w:rFonts w:ascii="Calibri" w:eastAsia="Calibri" w:hAnsi="Calibri" w:cs="Calibri"/>
          <w:color w:val="000000"/>
          <w:sz w:val="20"/>
          <w:szCs w:val="20"/>
        </w:rPr>
        <w:t>Operating Units C &amp; D: Both units are non-compliant. After correcting the risk weights, Unit C’s ratio</w:t>
      </w:r>
      <w:r w:rsidR="00642AB9">
        <w:rPr>
          <w:rFonts w:ascii="Calibri" w:eastAsia="Calibri" w:hAnsi="Calibri" w:cs="Calibri"/>
          <w:color w:val="000000"/>
          <w:sz w:val="20"/>
          <w:szCs w:val="20"/>
        </w:rPr>
        <w:t xml:space="preserve"> falls to 7.8% and Unit D’s to 4</w:t>
      </w:r>
      <w:bookmarkStart w:id="1" w:name="_GoBack"/>
      <w:bookmarkEnd w:id="1"/>
      <w:r w:rsidRPr="00642AB9">
        <w:rPr>
          <w:rFonts w:ascii="Calibri" w:eastAsia="Calibri" w:hAnsi="Calibri" w:cs="Calibri"/>
          <w:color w:val="000000"/>
          <w:sz w:val="20"/>
          <w:szCs w:val="20"/>
        </w:rPr>
        <w:t>.3%, both of which are below the mandatory 10.5% requirement.</w:t>
      </w:r>
    </w:p>
    <w:p w14:paraId="2629BD64" w14:textId="77777777" w:rsidR="005E514B" w:rsidRDefault="005E514B" w:rsidP="005E5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2A5371AF" w14:textId="2071FF63" w:rsidR="005E514B" w:rsidRPr="005E514B" w:rsidRDefault="005E514B" w:rsidP="005E5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E514B">
        <w:rPr>
          <w:rFonts w:ascii="Calibri" w:eastAsia="Calibri" w:hAnsi="Calibri" w:cs="Calibri"/>
          <w:color w:val="000000"/>
          <w:sz w:val="20"/>
          <w:szCs w:val="20"/>
        </w:rPr>
        <w:t>These discrepancies indicate that Units C and D currently lack the necessary capital buffers to meet regulatory standards. I recommend we immediately flag these calculation errors to the respective units and review their capital allocation strategies to ensure compliance with Basel III regulations.</w:t>
      </w:r>
    </w:p>
    <w:p w14:paraId="0000000C" w14:textId="77777777" w:rsidR="00996801" w:rsidRDefault="00996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D" w14:textId="77777777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Many thanks, </w:t>
      </w:r>
    </w:p>
    <w:p w14:paraId="0000000E" w14:textId="6CF0CC24" w:rsidR="00996801" w:rsidRDefault="005E5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Anjani Kumar Mishra</w:t>
      </w:r>
    </w:p>
    <w:p w14:paraId="0000000F" w14:textId="77777777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Financial Analyst, </w:t>
      </w:r>
    </w:p>
    <w:p w14:paraId="00000010" w14:textId="77777777" w:rsidR="00996801" w:rsidRDefault="00BE23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Citi Finance</w:t>
      </w:r>
    </w:p>
    <w:sectPr w:rsidR="00996801">
      <w:footerReference w:type="default" r:id="rId8"/>
      <w:pgSz w:w="11920" w:h="16840"/>
      <w:pgMar w:top="713" w:right="725" w:bottom="2752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E496D" w14:textId="77777777" w:rsidR="00BE23E0" w:rsidRDefault="00BE23E0">
      <w:pPr>
        <w:spacing w:line="240" w:lineRule="auto"/>
      </w:pPr>
      <w:r>
        <w:separator/>
      </w:r>
    </w:p>
  </w:endnote>
  <w:endnote w:type="continuationSeparator" w:id="0">
    <w:p w14:paraId="10D93321" w14:textId="77777777" w:rsidR="00BE23E0" w:rsidRDefault="00BE2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996801" w:rsidRDefault="009968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F688F" w14:textId="77777777" w:rsidR="00BE23E0" w:rsidRDefault="00BE23E0">
      <w:pPr>
        <w:spacing w:line="240" w:lineRule="auto"/>
      </w:pPr>
      <w:r>
        <w:separator/>
      </w:r>
    </w:p>
  </w:footnote>
  <w:footnote w:type="continuationSeparator" w:id="0">
    <w:p w14:paraId="0248A801" w14:textId="77777777" w:rsidR="00BE23E0" w:rsidRDefault="00BE2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25E7"/>
    <w:multiLevelType w:val="hybridMultilevel"/>
    <w:tmpl w:val="7A2ED1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27FC5"/>
    <w:multiLevelType w:val="hybridMultilevel"/>
    <w:tmpl w:val="24FA15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01"/>
    <w:rsid w:val="00357EB6"/>
    <w:rsid w:val="003A2543"/>
    <w:rsid w:val="00441A11"/>
    <w:rsid w:val="005E514B"/>
    <w:rsid w:val="00642AB9"/>
    <w:rsid w:val="00996801"/>
    <w:rsid w:val="00BE23E0"/>
    <w:rsid w:val="00F0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83F47-B5CD-44BF-837C-BA74FCC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2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73"/>
  </w:style>
  <w:style w:type="paragraph" w:styleId="Footer">
    <w:name w:val="footer"/>
    <w:basedOn w:val="Normal"/>
    <w:link w:val="FooterChar"/>
    <w:uiPriority w:val="99"/>
    <w:unhideWhenUsed/>
    <w:rsid w:val="00FF22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273"/>
  </w:style>
  <w:style w:type="character" w:styleId="CommentReference">
    <w:name w:val="annotation reference"/>
    <w:basedOn w:val="DefaultParagraphFont"/>
    <w:uiPriority w:val="99"/>
    <w:semiHidden/>
    <w:unhideWhenUsed/>
    <w:rsid w:val="004C3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B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CF66D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fIPZ/4naGyUiUFZMHunhNovKAg==">AMUW2mUQOfzFus2ti+B1ydoT0FROad1b+VHtYbx+U7FU78OUNUqID4LrgJIQCow5uWxSXykrkxfwns6oIZoIuJo/5tLu0OQFNQArMqbEaexum4U2XkP2toD+1ctZB+mPXQV80sWZ826m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AKM</cp:lastModifiedBy>
  <cp:revision>5</cp:revision>
  <dcterms:created xsi:type="dcterms:W3CDTF">2023-02-02T19:37:00Z</dcterms:created>
  <dcterms:modified xsi:type="dcterms:W3CDTF">2026-03-23T15:46:00Z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86a02c-2dfb-4efe-823f-aa2d1f0e6ab7_Enabled">
    <vt:lpwstr>true</vt:lpwstr>
  </property>
  <property fmtid="{D5CDD505-2E9C-101B-9397-08002B2CF9AE}" pid="3" name="MSIP_Label_3486a02c-2dfb-4efe-823f-aa2d1f0e6ab7_SetDate">
    <vt:lpwstr>2023-01-05T13:17:55Z</vt:lpwstr>
  </property>
  <property fmtid="{D5CDD505-2E9C-101B-9397-08002B2CF9AE}" pid="4" name="MSIP_Label_3486a02c-2dfb-4efe-823f-aa2d1f0e6ab7_Method">
    <vt:lpwstr>Privileged</vt:lpwstr>
  </property>
  <property fmtid="{D5CDD505-2E9C-101B-9397-08002B2CF9AE}" pid="5" name="MSIP_Label_3486a02c-2dfb-4efe-823f-aa2d1f0e6ab7_Name">
    <vt:lpwstr>CLAPUBLIC</vt:lpwstr>
  </property>
  <property fmtid="{D5CDD505-2E9C-101B-9397-08002B2CF9AE}" pid="6" name="MSIP_Label_3486a02c-2dfb-4efe-823f-aa2d1f0e6ab7_SiteId">
    <vt:lpwstr>e0fd434d-ba64-497b-90d2-859c472e1a92</vt:lpwstr>
  </property>
  <property fmtid="{D5CDD505-2E9C-101B-9397-08002B2CF9AE}" pid="7" name="MSIP_Label_3486a02c-2dfb-4efe-823f-aa2d1f0e6ab7_ActionId">
    <vt:lpwstr>6f0b03b8-ff13-4121-b7ee-17d290244bda</vt:lpwstr>
  </property>
  <property fmtid="{D5CDD505-2E9C-101B-9397-08002B2CF9AE}" pid="8" name="MSIP_Label_3486a02c-2dfb-4efe-823f-aa2d1f0e6ab7_ContentBits">
    <vt:lpwstr>2</vt:lpwstr>
  </property>
  <property fmtid="{D5CDD505-2E9C-101B-9397-08002B2CF9AE}" pid="9" name="Classification">
    <vt:lpwstr>PUBLIC</vt:lpwstr>
  </property>
</Properties>
</file>